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3CFC" w14:textId="77777777" w:rsidR="00BA5FFE" w:rsidRPr="00316274" w:rsidRDefault="00BA5FFE" w:rsidP="00316274">
      <w:pPr>
        <w:pStyle w:val="Heading1"/>
        <w:jc w:val="center"/>
        <w:rPr>
          <w:rFonts w:cs="Times New Roman"/>
          <w:szCs w:val="24"/>
        </w:rPr>
      </w:pPr>
      <w:r w:rsidRPr="00316274">
        <w:rPr>
          <w:rFonts w:cs="Times New Roman"/>
          <w:szCs w:val="24"/>
        </w:rPr>
        <w:t>SUPPLEMENTARY MATERIAL</w:t>
      </w:r>
    </w:p>
    <w:p w14:paraId="5E775BE6" w14:textId="77777777" w:rsidR="00BA5FFE" w:rsidRPr="00316274" w:rsidRDefault="00BA5FFE" w:rsidP="00316274">
      <w:pPr>
        <w:pStyle w:val="Heading1"/>
        <w:jc w:val="center"/>
        <w:rPr>
          <w:rFonts w:cs="Times New Roman"/>
          <w:szCs w:val="24"/>
        </w:rPr>
      </w:pPr>
    </w:p>
    <w:p w14:paraId="240D63EB" w14:textId="77777777" w:rsidR="00C6038D" w:rsidRPr="00316274" w:rsidRDefault="00BA5FFE" w:rsidP="00316274">
      <w:pPr>
        <w:pStyle w:val="Heading1"/>
        <w:numPr>
          <w:ilvl w:val="0"/>
          <w:numId w:val="1"/>
        </w:numPr>
        <w:jc w:val="both"/>
        <w:rPr>
          <w:rFonts w:cs="Times New Roman"/>
          <w:szCs w:val="24"/>
        </w:rPr>
      </w:pPr>
      <w:r w:rsidRPr="00316274">
        <w:rPr>
          <w:rFonts w:cs="Times New Roman"/>
          <w:szCs w:val="24"/>
        </w:rPr>
        <w:t>Analysis of FAO AQUASTAT data</w:t>
      </w:r>
    </w:p>
    <w:p w14:paraId="30BEEE49" w14:textId="64A27BFC" w:rsidR="00C6038D" w:rsidRPr="00316274" w:rsidRDefault="00C6038D" w:rsidP="00316274">
      <w:pPr>
        <w:pStyle w:val="Paragraph"/>
        <w:spacing w:line="360" w:lineRule="auto"/>
        <w:jc w:val="both"/>
        <w:rPr>
          <w:lang w:val="en"/>
        </w:rPr>
      </w:pPr>
      <w:r w:rsidRPr="00316274">
        <w:rPr>
          <w:lang w:val="en"/>
        </w:rPr>
        <w:t xml:space="preserve">Data on Human Development Index (HDI), contribution of agriculture to GDP, SDG indicators such as water-use efficiency and water-stress, </w:t>
      </w:r>
      <w:r w:rsidRPr="00316274">
        <w:rPr>
          <w:rFonts w:eastAsia="Arial"/>
          <w:lang w:val="en"/>
        </w:rPr>
        <w:t xml:space="preserve">area equipped for surface irrigation and groundwater irrigation were </w:t>
      </w:r>
      <w:r w:rsidRPr="00316274">
        <w:rPr>
          <w:lang w:val="en"/>
        </w:rPr>
        <w:t xml:space="preserve">acquired from FAO AQUASTAT database </w:t>
      </w:r>
      <w:r w:rsidRPr="00316274">
        <w:rPr>
          <w:noProof/>
          <w:lang w:val="en"/>
        </w:rPr>
        <w:t>(FAO</w:t>
      </w:r>
      <w:r w:rsidR="00505E28" w:rsidRPr="00316274">
        <w:rPr>
          <w:noProof/>
          <w:lang w:val="en"/>
        </w:rPr>
        <w:t>,</w:t>
      </w:r>
      <w:r w:rsidRPr="00316274">
        <w:rPr>
          <w:noProof/>
          <w:lang w:val="en"/>
        </w:rPr>
        <w:t xml:space="preserve"> 2020)</w:t>
      </w:r>
      <w:r w:rsidRPr="00316274">
        <w:rPr>
          <w:lang w:val="en"/>
        </w:rPr>
        <w:t xml:space="preserve"> for the selected  countries for the year 2020. The obtained values are represented in tables, plotted as graphs and discussed in the following section.</w:t>
      </w:r>
    </w:p>
    <w:p w14:paraId="27C83E0A" w14:textId="574F2FE5" w:rsidR="00C6038D" w:rsidRPr="00316274" w:rsidRDefault="0079013B" w:rsidP="00316274">
      <w:pPr>
        <w:pStyle w:val="Heading2"/>
        <w:numPr>
          <w:ilvl w:val="1"/>
          <w:numId w:val="1"/>
        </w:numPr>
        <w:jc w:val="both"/>
        <w:rPr>
          <w:rFonts w:cs="Times New Roman"/>
          <w:i w:val="0"/>
          <w:szCs w:val="24"/>
        </w:rPr>
      </w:pPr>
      <w:r w:rsidRPr="00316274">
        <w:rPr>
          <w:rFonts w:cs="Times New Roman"/>
          <w:i w:val="0"/>
          <w:szCs w:val="24"/>
        </w:rPr>
        <w:t xml:space="preserve"> </w:t>
      </w:r>
      <w:r w:rsidR="00C6038D" w:rsidRPr="00316274">
        <w:rPr>
          <w:rFonts w:cs="Times New Roman"/>
          <w:i w:val="0"/>
          <w:szCs w:val="24"/>
        </w:rPr>
        <w:t xml:space="preserve">HDI Index and contribution of agriculture to country’s GDP </w:t>
      </w:r>
    </w:p>
    <w:p w14:paraId="4800BF1A" w14:textId="3734BDB2" w:rsidR="00C6038D" w:rsidRPr="00316274" w:rsidRDefault="00C6038D" w:rsidP="00316274">
      <w:pPr>
        <w:pStyle w:val="Newparagraph"/>
        <w:spacing w:line="360" w:lineRule="auto"/>
        <w:ind w:firstLine="0"/>
        <w:jc w:val="both"/>
        <w:rPr>
          <w:lang w:val="en"/>
        </w:rPr>
      </w:pPr>
      <w:proofErr w:type="gramStart"/>
      <w:r w:rsidRPr="00316274">
        <w:rPr>
          <w:lang w:val="en"/>
        </w:rPr>
        <w:t>Human</w:t>
      </w:r>
      <w:proofErr w:type="gramEnd"/>
      <w:r w:rsidRPr="00316274">
        <w:rPr>
          <w:lang w:val="en"/>
        </w:rPr>
        <w:t xml:space="preserve"> Development Index (HDI) is the measure of human development that is derived based on long and healthy life, knowledge and decent standard of living. HDI measures country’s quality of life and its production capacity.  It emphasizes more on human development rather than the Gross Domestic Product (GDP) of a country.  Figure </w:t>
      </w:r>
      <w:r w:rsidR="00505E28" w:rsidRPr="00316274">
        <w:rPr>
          <w:lang w:val="en"/>
        </w:rPr>
        <w:t>S</w:t>
      </w:r>
      <w:r w:rsidR="00BA5FFE" w:rsidRPr="00316274">
        <w:rPr>
          <w:lang w:val="en"/>
        </w:rPr>
        <w:t>1</w:t>
      </w:r>
      <w:r w:rsidRPr="00316274">
        <w:rPr>
          <w:lang w:val="en"/>
        </w:rPr>
        <w:t xml:space="preserve"> shows the graph plotted using FAO AQUASTAT data for HDI and agriculture value added GDP for the year 2020. As per the UNDP-HDI classification </w:t>
      </w:r>
      <w:r w:rsidRPr="00316274">
        <w:rPr>
          <w:noProof/>
          <w:lang w:val="en"/>
        </w:rPr>
        <w:t>(UNDP</w:t>
      </w:r>
      <w:r w:rsidR="00505E28" w:rsidRPr="00316274">
        <w:rPr>
          <w:noProof/>
          <w:lang w:val="en"/>
        </w:rPr>
        <w:t>,</w:t>
      </w:r>
      <w:r w:rsidRPr="00316274">
        <w:rPr>
          <w:noProof/>
          <w:lang w:val="en"/>
        </w:rPr>
        <w:t xml:space="preserve"> 2014)</w:t>
      </w:r>
      <w:r w:rsidRPr="00316274">
        <w:rPr>
          <w:lang w:val="en"/>
        </w:rPr>
        <w:t xml:space="preserve">, the HDI value below 0.55 is </w:t>
      </w:r>
      <w:proofErr w:type="spellStart"/>
      <w:r w:rsidRPr="00316274">
        <w:rPr>
          <w:lang w:val="en"/>
        </w:rPr>
        <w:t>categorised</w:t>
      </w:r>
      <w:proofErr w:type="spellEnd"/>
      <w:r w:rsidRPr="00316274">
        <w:rPr>
          <w:lang w:val="en"/>
        </w:rPr>
        <w:t xml:space="preserve"> as ‘low’, 0.55-0.699 as ‘medium’,  0.7-0.799 for ‘high’ and 0.8 and above for ‘very high human development’. Based on this categorization, it is inferred that India falls under ‘medium’ and all other six countries are having ‘low human development’. The agriculture-value added GDP is highest for Niger (38.38%), followed by Ethiopia and Tanzania at 35.56% and 26.93%, respectively, which means that these countries are primarily dependent on agriculture for their country’s economic growth. However, India’s agriculture makes a contribution of 16.4% to the overall GDP, which has been in the declining trend, due to the rapid growth of industrial and service sectors </w:t>
      </w:r>
      <w:r w:rsidR="00505E28" w:rsidRPr="00316274">
        <w:rPr>
          <w:noProof/>
          <w:lang w:val="en"/>
        </w:rPr>
        <w:t xml:space="preserve">(Survey, </w:t>
      </w:r>
      <w:r w:rsidRPr="00316274">
        <w:rPr>
          <w:noProof/>
          <w:lang w:val="en"/>
        </w:rPr>
        <w:t>2018)</w:t>
      </w:r>
      <w:r w:rsidRPr="00316274">
        <w:rPr>
          <w:lang w:val="en"/>
        </w:rPr>
        <w:t>.</w:t>
      </w:r>
    </w:p>
    <w:p w14:paraId="5FB02E7F" w14:textId="77777777" w:rsidR="00C6038D" w:rsidRPr="00316274" w:rsidRDefault="00C6038D" w:rsidP="00316274">
      <w:pPr>
        <w:pStyle w:val="Newparagraph"/>
        <w:spacing w:line="360" w:lineRule="auto"/>
        <w:ind w:firstLine="0"/>
        <w:jc w:val="both"/>
        <w:rPr>
          <w:lang w:val="en"/>
        </w:rPr>
      </w:pPr>
      <w:r w:rsidRPr="00316274">
        <w:rPr>
          <w:noProof/>
        </w:rPr>
        <w:lastRenderedPageBreak/>
        <w:drawing>
          <wp:inline distT="0" distB="0" distL="0" distR="0" wp14:anchorId="7A443EAE" wp14:editId="27258928">
            <wp:extent cx="5657215" cy="3524250"/>
            <wp:effectExtent l="0" t="0" r="635" b="0"/>
            <wp:docPr id="1100228977" name="Chart 1100228977">
              <a:extLst xmlns:a="http://schemas.openxmlformats.org/drawingml/2006/main">
                <a:ext uri="{FF2B5EF4-FFF2-40B4-BE49-F238E27FC236}">
                  <a16:creationId xmlns:a16="http://schemas.microsoft.com/office/drawing/2014/main" id="{D3C5E7D7-AD53-22E2-3EC6-13C1CAB9F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4A71D" w14:textId="7D5E2409" w:rsidR="00C6038D" w:rsidRPr="00316274" w:rsidRDefault="00BA5FFE" w:rsidP="00316274">
      <w:pPr>
        <w:pStyle w:val="Newparagraph"/>
        <w:spacing w:line="360" w:lineRule="auto"/>
        <w:ind w:firstLine="0"/>
        <w:jc w:val="both"/>
        <w:rPr>
          <w:rFonts w:eastAsiaTheme="minorHAnsi"/>
          <w:b/>
          <w:lang w:bidi="ta-IN"/>
        </w:rPr>
      </w:pPr>
      <w:r w:rsidRPr="00316274">
        <w:rPr>
          <w:rFonts w:eastAsiaTheme="minorHAnsi"/>
          <w:b/>
          <w:lang w:bidi="ta-IN"/>
        </w:rPr>
        <w:t xml:space="preserve">Figure </w:t>
      </w:r>
      <w:r w:rsidR="00505E28" w:rsidRPr="00316274">
        <w:rPr>
          <w:rFonts w:eastAsiaTheme="minorHAnsi"/>
          <w:b/>
          <w:lang w:bidi="ta-IN"/>
        </w:rPr>
        <w:t>S</w:t>
      </w:r>
      <w:r w:rsidRPr="00316274">
        <w:rPr>
          <w:rFonts w:eastAsiaTheme="minorHAnsi"/>
          <w:b/>
          <w:lang w:bidi="ta-IN"/>
        </w:rPr>
        <w:t>1</w:t>
      </w:r>
      <w:r w:rsidR="00C6038D" w:rsidRPr="00316274">
        <w:rPr>
          <w:rFonts w:eastAsiaTheme="minorHAnsi"/>
          <w:b/>
          <w:lang w:bidi="ta-IN"/>
        </w:rPr>
        <w:t>. HDI and contribution of agriculture to the GDP in the selected water-stressed Tropical countries</w:t>
      </w:r>
    </w:p>
    <w:p w14:paraId="38BBC95E" w14:textId="77777777" w:rsidR="00C6038D" w:rsidRPr="00316274" w:rsidRDefault="00C6038D" w:rsidP="00316274">
      <w:pPr>
        <w:spacing w:after="160" w:line="360" w:lineRule="auto"/>
        <w:jc w:val="both"/>
        <w:rPr>
          <w:rFonts w:eastAsiaTheme="minorHAnsi"/>
          <w:i/>
          <w:kern w:val="2"/>
          <w:lang w:bidi="ta-IN"/>
          <w14:ligatures w14:val="standardContextual"/>
        </w:rPr>
      </w:pPr>
      <w:r w:rsidRPr="00316274">
        <w:rPr>
          <w:rFonts w:eastAsiaTheme="minorHAnsi"/>
          <w:i/>
          <w:kern w:val="2"/>
          <w:lang w:bidi="ta-IN"/>
          <w14:ligatures w14:val="standardContextual"/>
        </w:rPr>
        <w:t xml:space="preserve">(Source: Graph plotted using FAO AQUASTAT data (2020), retrieved from </w:t>
      </w:r>
      <w:hyperlink r:id="rId6" w:history="1">
        <w:r w:rsidRPr="00316274">
          <w:rPr>
            <w:rFonts w:eastAsiaTheme="minorHAnsi"/>
            <w:i/>
            <w:kern w:val="2"/>
            <w:u w:val="single"/>
            <w:lang w:bidi="ta-IN"/>
            <w14:ligatures w14:val="standardContextual"/>
          </w:rPr>
          <w:t>https://data.apps.fao.org/aquastat/?lang=en</w:t>
        </w:r>
      </w:hyperlink>
      <w:r w:rsidRPr="00316274">
        <w:rPr>
          <w:rFonts w:eastAsiaTheme="minorHAnsi"/>
          <w:i/>
          <w:kern w:val="2"/>
          <w:u w:val="single"/>
          <w:lang w:bidi="ta-IN"/>
          <w14:ligatures w14:val="standardContextual"/>
        </w:rPr>
        <w:t xml:space="preserve">, </w:t>
      </w:r>
      <w:r w:rsidRPr="00316274">
        <w:rPr>
          <w:rFonts w:eastAsiaTheme="minorHAnsi"/>
          <w:i/>
          <w:kern w:val="2"/>
          <w:lang w:bidi="ta-IN"/>
          <w14:ligatures w14:val="standardContextual"/>
        </w:rPr>
        <w:t>Accessed on 30 Nov 2023)</w:t>
      </w:r>
    </w:p>
    <w:p w14:paraId="17290014" w14:textId="13ED3F15" w:rsidR="00C6038D" w:rsidRPr="00316274" w:rsidRDefault="0079013B" w:rsidP="00316274">
      <w:pPr>
        <w:pStyle w:val="Heading2"/>
        <w:numPr>
          <w:ilvl w:val="1"/>
          <w:numId w:val="1"/>
        </w:numPr>
        <w:jc w:val="both"/>
        <w:rPr>
          <w:rFonts w:cs="Times New Roman"/>
          <w:i w:val="0"/>
          <w:szCs w:val="24"/>
        </w:rPr>
      </w:pPr>
      <w:r w:rsidRPr="00316274">
        <w:rPr>
          <w:rFonts w:cs="Times New Roman"/>
          <w:i w:val="0"/>
          <w:szCs w:val="24"/>
        </w:rPr>
        <w:t xml:space="preserve"> </w:t>
      </w:r>
      <w:r w:rsidR="00C6038D" w:rsidRPr="00316274">
        <w:rPr>
          <w:rFonts w:cs="Times New Roman"/>
          <w:i w:val="0"/>
          <w:szCs w:val="24"/>
        </w:rPr>
        <w:t>SDG indicators related to water-stress and water-use efficiency in the selected water-stressed Tropical countries</w:t>
      </w:r>
    </w:p>
    <w:p w14:paraId="1AF4CC72" w14:textId="1F996D53" w:rsidR="00BA5FFE" w:rsidRPr="00316274" w:rsidRDefault="00C6038D" w:rsidP="00316274">
      <w:pPr>
        <w:spacing w:after="160" w:line="360" w:lineRule="auto"/>
        <w:jc w:val="both"/>
        <w:rPr>
          <w:rFonts w:eastAsiaTheme="minorHAnsi"/>
          <w:i/>
          <w:kern w:val="2"/>
          <w:lang w:bidi="ta-IN"/>
          <w14:ligatures w14:val="standardContextual"/>
        </w:rPr>
      </w:pPr>
      <w:r w:rsidRPr="00316274">
        <w:rPr>
          <w:rFonts w:eastAsia="Arial"/>
          <w:lang w:val="en"/>
        </w:rPr>
        <w:t>The SDG 6.4.1. indicator, water use efficiency, measures the value added in US dollars per volume of water used and it can be calculated for every sector. This indicator is used to assess how much the country’s economic growth depends on water resources. From T</w:t>
      </w:r>
      <w:r w:rsidR="00BA5FFE" w:rsidRPr="00316274">
        <w:rPr>
          <w:rFonts w:eastAsia="Arial"/>
          <w:lang w:val="en"/>
        </w:rPr>
        <w:t xml:space="preserve">able </w:t>
      </w:r>
      <w:r w:rsidR="00505E28" w:rsidRPr="00316274">
        <w:rPr>
          <w:rFonts w:eastAsia="Arial"/>
          <w:lang w:val="en"/>
        </w:rPr>
        <w:t>S</w:t>
      </w:r>
      <w:r w:rsidR="00BA5FFE" w:rsidRPr="00316274">
        <w:rPr>
          <w:rFonts w:eastAsia="Arial"/>
          <w:lang w:val="en"/>
        </w:rPr>
        <w:t>1</w:t>
      </w:r>
      <w:r w:rsidRPr="00316274">
        <w:rPr>
          <w:rFonts w:eastAsia="Arial"/>
          <w:lang w:val="en"/>
        </w:rPr>
        <w:t>, the rate of water use efficiency is in the order of: Uganda &gt; Nigeria&gt; Rwanda &gt; Tanzania&gt; Ethiopia &gt; India &gt; Niger. The agricultural water-use efficiency is ‘0’ and ‘0.04’ for Niger and Nigeria respectively. Among the seven countries, India has the highest irrigated water-use efficiency of 0.44. The SDG 6.4.2 indicator, water stress, refers to the amount of freshwater withdrawn to the total available freshwater. The water-stress indicator follows the order of: India &gt; Ethiopia &gt; Rwanda &gt; Tanzania &gt; Niger &gt; Nigeria &gt; Uganda. India has the highest water-stress value of 66.49% and Uganda with the least as 5.83%.</w:t>
      </w:r>
    </w:p>
    <w:p w14:paraId="3C53E856" w14:textId="5C03CCF6" w:rsidR="00C6038D" w:rsidRPr="00316274" w:rsidRDefault="00BA5FFE" w:rsidP="00316274">
      <w:pPr>
        <w:pStyle w:val="Tabletitle"/>
        <w:jc w:val="both"/>
        <w:rPr>
          <w:rFonts w:eastAsia="Calibri"/>
          <w:b/>
          <w:lang w:bidi="ta-IN"/>
        </w:rPr>
      </w:pPr>
      <w:r w:rsidRPr="00316274">
        <w:rPr>
          <w:rFonts w:eastAsiaTheme="minorHAnsi"/>
          <w:b/>
          <w:lang w:bidi="ta-IN"/>
        </w:rPr>
        <w:lastRenderedPageBreak/>
        <w:t xml:space="preserve">Table </w:t>
      </w:r>
      <w:r w:rsidR="00505E28" w:rsidRPr="00316274">
        <w:rPr>
          <w:rFonts w:eastAsiaTheme="minorHAnsi"/>
          <w:b/>
          <w:lang w:bidi="ta-IN"/>
        </w:rPr>
        <w:t>S</w:t>
      </w:r>
      <w:r w:rsidRPr="00316274">
        <w:rPr>
          <w:rFonts w:eastAsiaTheme="minorHAnsi"/>
          <w:b/>
          <w:lang w:bidi="ta-IN"/>
        </w:rPr>
        <w:t>1</w:t>
      </w:r>
      <w:r w:rsidR="00C6038D" w:rsidRPr="00316274">
        <w:rPr>
          <w:rFonts w:eastAsiaTheme="minorHAnsi"/>
          <w:b/>
          <w:lang w:bidi="ta-IN"/>
        </w:rPr>
        <w:t>. SDG indicators related to water-stress and water-efficiency in the selected water-stressed Tropical countries</w:t>
      </w:r>
    </w:p>
    <w:tbl>
      <w:tblPr>
        <w:tblStyle w:val="TableGrid"/>
        <w:tblW w:w="6429" w:type="dxa"/>
        <w:jc w:val="center"/>
        <w:tblLook w:val="04A0" w:firstRow="1" w:lastRow="0" w:firstColumn="1" w:lastColumn="0" w:noHBand="0" w:noVBand="1"/>
      </w:tblPr>
      <w:tblGrid>
        <w:gridCol w:w="1097"/>
        <w:gridCol w:w="1516"/>
        <w:gridCol w:w="1959"/>
        <w:gridCol w:w="1857"/>
      </w:tblGrid>
      <w:tr w:rsidR="00316274" w:rsidRPr="00316274" w14:paraId="3ABCBBD2" w14:textId="77777777" w:rsidTr="00656779">
        <w:trPr>
          <w:trHeight w:val="1160"/>
          <w:jc w:val="center"/>
        </w:trPr>
        <w:tc>
          <w:tcPr>
            <w:tcW w:w="1097" w:type="dxa"/>
            <w:hideMark/>
          </w:tcPr>
          <w:p w14:paraId="7A050A8C" w14:textId="77777777" w:rsidR="00C6038D" w:rsidRPr="00316274" w:rsidRDefault="00C6038D" w:rsidP="00316274">
            <w:pPr>
              <w:spacing w:line="360" w:lineRule="auto"/>
              <w:jc w:val="both"/>
              <w:rPr>
                <w:b/>
                <w:bCs/>
              </w:rPr>
            </w:pPr>
            <w:r w:rsidRPr="00316274">
              <w:rPr>
                <w:b/>
              </w:rPr>
              <w:t>Country</w:t>
            </w:r>
          </w:p>
        </w:tc>
        <w:tc>
          <w:tcPr>
            <w:tcW w:w="1516" w:type="dxa"/>
            <w:hideMark/>
          </w:tcPr>
          <w:p w14:paraId="2E729EDD" w14:textId="77777777" w:rsidR="00C6038D" w:rsidRPr="00316274" w:rsidRDefault="00C6038D" w:rsidP="00316274">
            <w:pPr>
              <w:spacing w:line="360" w:lineRule="auto"/>
              <w:jc w:val="both"/>
              <w:rPr>
                <w:b/>
                <w:bCs/>
              </w:rPr>
            </w:pPr>
            <w:r w:rsidRPr="00316274">
              <w:rPr>
                <w:b/>
              </w:rPr>
              <w:t>SDG 6.4.1. Water Use Efficiency</w:t>
            </w:r>
          </w:p>
        </w:tc>
        <w:tc>
          <w:tcPr>
            <w:tcW w:w="1959" w:type="dxa"/>
            <w:hideMark/>
          </w:tcPr>
          <w:p w14:paraId="7E453D74" w14:textId="77777777" w:rsidR="00C6038D" w:rsidRPr="00316274" w:rsidRDefault="00C6038D" w:rsidP="00316274">
            <w:pPr>
              <w:spacing w:line="360" w:lineRule="auto"/>
              <w:jc w:val="both"/>
              <w:rPr>
                <w:b/>
                <w:bCs/>
              </w:rPr>
            </w:pPr>
            <w:r w:rsidRPr="00316274">
              <w:rPr>
                <w:b/>
              </w:rPr>
              <w:t>SDG 6.4.1. Irrigated Agriculture Water Use Efficiency</w:t>
            </w:r>
          </w:p>
        </w:tc>
        <w:tc>
          <w:tcPr>
            <w:tcW w:w="1857" w:type="dxa"/>
            <w:hideMark/>
          </w:tcPr>
          <w:p w14:paraId="41537BAF" w14:textId="77777777" w:rsidR="00C6038D" w:rsidRPr="00316274" w:rsidRDefault="00C6038D" w:rsidP="00316274">
            <w:pPr>
              <w:spacing w:line="360" w:lineRule="auto"/>
              <w:jc w:val="both"/>
              <w:rPr>
                <w:b/>
                <w:bCs/>
              </w:rPr>
            </w:pPr>
            <w:r w:rsidRPr="00316274">
              <w:rPr>
                <w:b/>
              </w:rPr>
              <w:t>SDG 6.4.2. Water Stress</w:t>
            </w:r>
          </w:p>
        </w:tc>
      </w:tr>
      <w:tr w:rsidR="00316274" w:rsidRPr="00316274" w14:paraId="760D3342" w14:textId="77777777" w:rsidTr="00656779">
        <w:trPr>
          <w:trHeight w:val="315"/>
          <w:jc w:val="center"/>
        </w:trPr>
        <w:tc>
          <w:tcPr>
            <w:tcW w:w="1097" w:type="dxa"/>
            <w:hideMark/>
          </w:tcPr>
          <w:p w14:paraId="757E398F" w14:textId="77777777" w:rsidR="00C6038D" w:rsidRPr="00316274" w:rsidRDefault="00C6038D" w:rsidP="00316274">
            <w:pPr>
              <w:spacing w:line="360" w:lineRule="auto"/>
              <w:jc w:val="both"/>
              <w:rPr>
                <w:b/>
                <w:bCs/>
              </w:rPr>
            </w:pPr>
            <w:r w:rsidRPr="00316274">
              <w:rPr>
                <w:b/>
              </w:rPr>
              <w:t> </w:t>
            </w:r>
          </w:p>
        </w:tc>
        <w:tc>
          <w:tcPr>
            <w:tcW w:w="1516" w:type="dxa"/>
            <w:hideMark/>
          </w:tcPr>
          <w:p w14:paraId="06730DBA" w14:textId="77777777" w:rsidR="00C6038D" w:rsidRPr="00316274" w:rsidRDefault="00C6038D" w:rsidP="00316274">
            <w:pPr>
              <w:spacing w:line="360" w:lineRule="auto"/>
              <w:jc w:val="both"/>
              <w:rPr>
                <w:b/>
                <w:bCs/>
                <w:vertAlign w:val="superscript"/>
              </w:rPr>
            </w:pPr>
            <w:r w:rsidRPr="00316274">
              <w:rPr>
                <w:b/>
                <w:bCs/>
              </w:rPr>
              <w:t>USD/m</w:t>
            </w:r>
            <w:r w:rsidRPr="00316274">
              <w:rPr>
                <w:b/>
                <w:bCs/>
                <w:vertAlign w:val="superscript"/>
              </w:rPr>
              <w:t>3</w:t>
            </w:r>
          </w:p>
        </w:tc>
        <w:tc>
          <w:tcPr>
            <w:tcW w:w="1959" w:type="dxa"/>
            <w:hideMark/>
          </w:tcPr>
          <w:p w14:paraId="06E245E8" w14:textId="77777777" w:rsidR="00C6038D" w:rsidRPr="00316274" w:rsidRDefault="00C6038D" w:rsidP="00316274">
            <w:pPr>
              <w:spacing w:line="360" w:lineRule="auto"/>
              <w:jc w:val="both"/>
              <w:rPr>
                <w:b/>
                <w:bCs/>
                <w:vertAlign w:val="superscript"/>
              </w:rPr>
            </w:pPr>
            <w:r w:rsidRPr="00316274">
              <w:rPr>
                <w:b/>
                <w:bCs/>
              </w:rPr>
              <w:t>USD/m</w:t>
            </w:r>
            <w:r w:rsidRPr="00316274">
              <w:rPr>
                <w:b/>
                <w:bCs/>
                <w:vertAlign w:val="superscript"/>
              </w:rPr>
              <w:t>3</w:t>
            </w:r>
          </w:p>
        </w:tc>
        <w:tc>
          <w:tcPr>
            <w:tcW w:w="1857" w:type="dxa"/>
            <w:hideMark/>
          </w:tcPr>
          <w:p w14:paraId="31A084A3" w14:textId="77777777" w:rsidR="00C6038D" w:rsidRPr="00316274" w:rsidRDefault="00C6038D" w:rsidP="00316274">
            <w:pPr>
              <w:spacing w:line="360" w:lineRule="auto"/>
              <w:jc w:val="both"/>
              <w:rPr>
                <w:b/>
                <w:bCs/>
              </w:rPr>
            </w:pPr>
            <w:r w:rsidRPr="00316274">
              <w:rPr>
                <w:b/>
                <w:bCs/>
              </w:rPr>
              <w:t>%</w:t>
            </w:r>
          </w:p>
        </w:tc>
      </w:tr>
      <w:tr w:rsidR="00316274" w:rsidRPr="00316274" w14:paraId="1BD1C525" w14:textId="77777777" w:rsidTr="00656779">
        <w:trPr>
          <w:trHeight w:val="315"/>
          <w:jc w:val="center"/>
        </w:trPr>
        <w:tc>
          <w:tcPr>
            <w:tcW w:w="1097" w:type="dxa"/>
            <w:hideMark/>
          </w:tcPr>
          <w:p w14:paraId="73746734" w14:textId="77777777" w:rsidR="00C6038D" w:rsidRPr="00316274" w:rsidRDefault="00C6038D" w:rsidP="00316274">
            <w:pPr>
              <w:spacing w:line="360" w:lineRule="auto"/>
              <w:jc w:val="both"/>
              <w:rPr>
                <w:bCs/>
              </w:rPr>
            </w:pPr>
            <w:r w:rsidRPr="00316274">
              <w:t>Ethiopia</w:t>
            </w:r>
          </w:p>
        </w:tc>
        <w:tc>
          <w:tcPr>
            <w:tcW w:w="1516" w:type="dxa"/>
            <w:hideMark/>
          </w:tcPr>
          <w:p w14:paraId="53A83C63" w14:textId="77777777" w:rsidR="00C6038D" w:rsidRPr="00316274" w:rsidRDefault="00C6038D" w:rsidP="00316274">
            <w:pPr>
              <w:spacing w:line="360" w:lineRule="auto"/>
              <w:jc w:val="both"/>
            </w:pPr>
            <w:r w:rsidRPr="00316274">
              <w:t>5.35</w:t>
            </w:r>
          </w:p>
        </w:tc>
        <w:tc>
          <w:tcPr>
            <w:tcW w:w="1959" w:type="dxa"/>
            <w:hideMark/>
          </w:tcPr>
          <w:p w14:paraId="78217D99" w14:textId="77777777" w:rsidR="00C6038D" w:rsidRPr="00316274" w:rsidRDefault="00C6038D" w:rsidP="00316274">
            <w:pPr>
              <w:spacing w:line="360" w:lineRule="auto"/>
              <w:jc w:val="both"/>
            </w:pPr>
            <w:r w:rsidRPr="00316274">
              <w:t>0.18</w:t>
            </w:r>
          </w:p>
        </w:tc>
        <w:tc>
          <w:tcPr>
            <w:tcW w:w="1857" w:type="dxa"/>
            <w:hideMark/>
          </w:tcPr>
          <w:p w14:paraId="37DC5C68" w14:textId="77777777" w:rsidR="00C6038D" w:rsidRPr="00316274" w:rsidRDefault="00C6038D" w:rsidP="00316274">
            <w:pPr>
              <w:spacing w:line="360" w:lineRule="auto"/>
              <w:jc w:val="both"/>
            </w:pPr>
            <w:r w:rsidRPr="00316274">
              <w:t>32.26</w:t>
            </w:r>
          </w:p>
        </w:tc>
      </w:tr>
      <w:tr w:rsidR="00316274" w:rsidRPr="00316274" w14:paraId="0928A35A" w14:textId="77777777" w:rsidTr="00656779">
        <w:trPr>
          <w:trHeight w:val="315"/>
          <w:jc w:val="center"/>
        </w:trPr>
        <w:tc>
          <w:tcPr>
            <w:tcW w:w="1097" w:type="dxa"/>
            <w:hideMark/>
          </w:tcPr>
          <w:p w14:paraId="5984DB3B" w14:textId="77777777" w:rsidR="00C6038D" w:rsidRPr="00316274" w:rsidRDefault="00C6038D" w:rsidP="00316274">
            <w:pPr>
              <w:spacing w:line="360" w:lineRule="auto"/>
              <w:jc w:val="both"/>
              <w:rPr>
                <w:bCs/>
              </w:rPr>
            </w:pPr>
            <w:r w:rsidRPr="00316274">
              <w:t>Niger</w:t>
            </w:r>
          </w:p>
        </w:tc>
        <w:tc>
          <w:tcPr>
            <w:tcW w:w="1516" w:type="dxa"/>
            <w:hideMark/>
          </w:tcPr>
          <w:p w14:paraId="58DB4883" w14:textId="77777777" w:rsidR="00C6038D" w:rsidRPr="00316274" w:rsidRDefault="00C6038D" w:rsidP="00316274">
            <w:pPr>
              <w:spacing w:line="360" w:lineRule="auto"/>
              <w:jc w:val="both"/>
            </w:pPr>
            <w:r w:rsidRPr="00316274">
              <w:t>2.76</w:t>
            </w:r>
          </w:p>
        </w:tc>
        <w:tc>
          <w:tcPr>
            <w:tcW w:w="1959" w:type="dxa"/>
            <w:hideMark/>
          </w:tcPr>
          <w:p w14:paraId="6F79C0E0" w14:textId="77777777" w:rsidR="00C6038D" w:rsidRPr="00316274" w:rsidRDefault="00C6038D" w:rsidP="00316274">
            <w:pPr>
              <w:spacing w:line="360" w:lineRule="auto"/>
              <w:jc w:val="both"/>
            </w:pPr>
            <w:r w:rsidRPr="00316274">
              <w:t>0</w:t>
            </w:r>
          </w:p>
        </w:tc>
        <w:tc>
          <w:tcPr>
            <w:tcW w:w="1857" w:type="dxa"/>
            <w:hideMark/>
          </w:tcPr>
          <w:p w14:paraId="2CE931CF" w14:textId="77777777" w:rsidR="00C6038D" w:rsidRPr="00316274" w:rsidRDefault="00C6038D" w:rsidP="00316274">
            <w:pPr>
              <w:spacing w:line="360" w:lineRule="auto"/>
              <w:jc w:val="both"/>
            </w:pPr>
            <w:r w:rsidRPr="00316274">
              <w:t>11.02</w:t>
            </w:r>
          </w:p>
        </w:tc>
      </w:tr>
      <w:tr w:rsidR="00316274" w:rsidRPr="00316274" w14:paraId="4F16AB01" w14:textId="77777777" w:rsidTr="00656779">
        <w:trPr>
          <w:trHeight w:val="315"/>
          <w:jc w:val="center"/>
        </w:trPr>
        <w:tc>
          <w:tcPr>
            <w:tcW w:w="1097" w:type="dxa"/>
            <w:hideMark/>
          </w:tcPr>
          <w:p w14:paraId="770F5C4E" w14:textId="77777777" w:rsidR="00C6038D" w:rsidRPr="00316274" w:rsidRDefault="00C6038D" w:rsidP="00316274">
            <w:pPr>
              <w:spacing w:line="360" w:lineRule="auto"/>
              <w:jc w:val="both"/>
              <w:rPr>
                <w:bCs/>
              </w:rPr>
            </w:pPr>
            <w:r w:rsidRPr="00316274">
              <w:t>Nigeria</w:t>
            </w:r>
          </w:p>
        </w:tc>
        <w:tc>
          <w:tcPr>
            <w:tcW w:w="1516" w:type="dxa"/>
            <w:hideMark/>
          </w:tcPr>
          <w:p w14:paraId="23550769" w14:textId="77777777" w:rsidR="00C6038D" w:rsidRPr="00316274" w:rsidRDefault="00C6038D" w:rsidP="00316274">
            <w:pPr>
              <w:spacing w:line="360" w:lineRule="auto"/>
              <w:jc w:val="both"/>
            </w:pPr>
            <w:r w:rsidRPr="00316274">
              <w:t>30.12</w:t>
            </w:r>
          </w:p>
        </w:tc>
        <w:tc>
          <w:tcPr>
            <w:tcW w:w="1959" w:type="dxa"/>
            <w:hideMark/>
          </w:tcPr>
          <w:p w14:paraId="100A105A" w14:textId="77777777" w:rsidR="00C6038D" w:rsidRPr="00316274" w:rsidRDefault="00C6038D" w:rsidP="00316274">
            <w:pPr>
              <w:spacing w:line="360" w:lineRule="auto"/>
              <w:jc w:val="both"/>
            </w:pPr>
            <w:r w:rsidRPr="00316274">
              <w:t>0.25</w:t>
            </w:r>
          </w:p>
        </w:tc>
        <w:tc>
          <w:tcPr>
            <w:tcW w:w="1857" w:type="dxa"/>
            <w:hideMark/>
          </w:tcPr>
          <w:p w14:paraId="6D2211ED" w14:textId="77777777" w:rsidR="00C6038D" w:rsidRPr="00316274" w:rsidRDefault="00C6038D" w:rsidP="00316274">
            <w:pPr>
              <w:spacing w:line="360" w:lineRule="auto"/>
              <w:jc w:val="both"/>
            </w:pPr>
            <w:r w:rsidRPr="00316274">
              <w:t>9.67</w:t>
            </w:r>
          </w:p>
        </w:tc>
      </w:tr>
      <w:tr w:rsidR="00316274" w:rsidRPr="00316274" w14:paraId="13FB8885" w14:textId="77777777" w:rsidTr="00656779">
        <w:trPr>
          <w:trHeight w:val="315"/>
          <w:jc w:val="center"/>
        </w:trPr>
        <w:tc>
          <w:tcPr>
            <w:tcW w:w="1097" w:type="dxa"/>
            <w:hideMark/>
          </w:tcPr>
          <w:p w14:paraId="33AB3395" w14:textId="77777777" w:rsidR="00C6038D" w:rsidRPr="00316274" w:rsidRDefault="00C6038D" w:rsidP="00316274">
            <w:pPr>
              <w:spacing w:line="360" w:lineRule="auto"/>
              <w:jc w:val="both"/>
              <w:rPr>
                <w:bCs/>
              </w:rPr>
            </w:pPr>
            <w:r w:rsidRPr="00316274">
              <w:t>Rwanda</w:t>
            </w:r>
          </w:p>
        </w:tc>
        <w:tc>
          <w:tcPr>
            <w:tcW w:w="1516" w:type="dxa"/>
            <w:hideMark/>
          </w:tcPr>
          <w:p w14:paraId="49E6BC63" w14:textId="77777777" w:rsidR="00C6038D" w:rsidRPr="00316274" w:rsidRDefault="00C6038D" w:rsidP="00316274">
            <w:pPr>
              <w:spacing w:line="360" w:lineRule="auto"/>
              <w:jc w:val="both"/>
            </w:pPr>
            <w:r w:rsidRPr="00316274">
              <w:t>12.08</w:t>
            </w:r>
          </w:p>
        </w:tc>
        <w:tc>
          <w:tcPr>
            <w:tcW w:w="1959" w:type="dxa"/>
            <w:hideMark/>
          </w:tcPr>
          <w:p w14:paraId="33D5F2F7" w14:textId="77777777" w:rsidR="00C6038D" w:rsidRPr="00316274" w:rsidRDefault="00C6038D" w:rsidP="00316274">
            <w:pPr>
              <w:spacing w:line="360" w:lineRule="auto"/>
              <w:jc w:val="both"/>
            </w:pPr>
            <w:r w:rsidRPr="00316274">
              <w:t>0.43</w:t>
            </w:r>
          </w:p>
        </w:tc>
        <w:tc>
          <w:tcPr>
            <w:tcW w:w="1857" w:type="dxa"/>
            <w:hideMark/>
          </w:tcPr>
          <w:p w14:paraId="31D6AEC5" w14:textId="77777777" w:rsidR="00C6038D" w:rsidRPr="00316274" w:rsidRDefault="00C6038D" w:rsidP="00316274">
            <w:pPr>
              <w:spacing w:line="360" w:lineRule="auto"/>
              <w:jc w:val="both"/>
            </w:pPr>
            <w:r w:rsidRPr="00316274">
              <w:t>20.2</w:t>
            </w:r>
          </w:p>
        </w:tc>
      </w:tr>
      <w:tr w:rsidR="00316274" w:rsidRPr="00316274" w14:paraId="6EF8B260" w14:textId="77777777" w:rsidTr="00656779">
        <w:trPr>
          <w:trHeight w:val="315"/>
          <w:jc w:val="center"/>
        </w:trPr>
        <w:tc>
          <w:tcPr>
            <w:tcW w:w="1097" w:type="dxa"/>
            <w:hideMark/>
          </w:tcPr>
          <w:p w14:paraId="33B11EB3" w14:textId="77777777" w:rsidR="00C6038D" w:rsidRPr="00316274" w:rsidRDefault="00C6038D" w:rsidP="00316274">
            <w:pPr>
              <w:spacing w:line="360" w:lineRule="auto"/>
              <w:jc w:val="both"/>
              <w:rPr>
                <w:bCs/>
              </w:rPr>
            </w:pPr>
            <w:r w:rsidRPr="00316274">
              <w:t>Tanzania</w:t>
            </w:r>
          </w:p>
        </w:tc>
        <w:tc>
          <w:tcPr>
            <w:tcW w:w="1516" w:type="dxa"/>
            <w:hideMark/>
          </w:tcPr>
          <w:p w14:paraId="2CF37E56" w14:textId="77777777" w:rsidR="00C6038D" w:rsidRPr="00316274" w:rsidRDefault="00C6038D" w:rsidP="00316274">
            <w:pPr>
              <w:spacing w:line="360" w:lineRule="auto"/>
              <w:jc w:val="both"/>
            </w:pPr>
            <w:r w:rsidRPr="00316274">
              <w:t>8.83</w:t>
            </w:r>
          </w:p>
        </w:tc>
        <w:tc>
          <w:tcPr>
            <w:tcW w:w="1959" w:type="dxa"/>
            <w:hideMark/>
          </w:tcPr>
          <w:p w14:paraId="144283C2" w14:textId="77777777" w:rsidR="00C6038D" w:rsidRPr="00316274" w:rsidRDefault="00C6038D" w:rsidP="00316274">
            <w:pPr>
              <w:spacing w:line="360" w:lineRule="auto"/>
              <w:jc w:val="both"/>
            </w:pPr>
            <w:r w:rsidRPr="00316274">
              <w:t>0.23</w:t>
            </w:r>
          </w:p>
        </w:tc>
        <w:tc>
          <w:tcPr>
            <w:tcW w:w="1857" w:type="dxa"/>
            <w:hideMark/>
          </w:tcPr>
          <w:p w14:paraId="56C56D23" w14:textId="77777777" w:rsidR="00C6038D" w:rsidRPr="00316274" w:rsidRDefault="00C6038D" w:rsidP="00316274">
            <w:pPr>
              <w:spacing w:line="360" w:lineRule="auto"/>
              <w:jc w:val="both"/>
            </w:pPr>
            <w:r w:rsidRPr="00316274">
              <w:t>12.96</w:t>
            </w:r>
          </w:p>
        </w:tc>
      </w:tr>
      <w:tr w:rsidR="00316274" w:rsidRPr="00316274" w14:paraId="1831CDB8" w14:textId="77777777" w:rsidTr="00656779">
        <w:trPr>
          <w:trHeight w:val="315"/>
          <w:jc w:val="center"/>
        </w:trPr>
        <w:tc>
          <w:tcPr>
            <w:tcW w:w="1097" w:type="dxa"/>
            <w:hideMark/>
          </w:tcPr>
          <w:p w14:paraId="55E004D6" w14:textId="77777777" w:rsidR="00C6038D" w:rsidRPr="00316274" w:rsidRDefault="00C6038D" w:rsidP="00316274">
            <w:pPr>
              <w:spacing w:line="360" w:lineRule="auto"/>
              <w:jc w:val="both"/>
              <w:rPr>
                <w:bCs/>
              </w:rPr>
            </w:pPr>
            <w:r w:rsidRPr="00316274">
              <w:t>Uganda</w:t>
            </w:r>
          </w:p>
        </w:tc>
        <w:tc>
          <w:tcPr>
            <w:tcW w:w="1516" w:type="dxa"/>
            <w:hideMark/>
          </w:tcPr>
          <w:p w14:paraId="0E26583E" w14:textId="77777777" w:rsidR="00C6038D" w:rsidRPr="00316274" w:rsidRDefault="00C6038D" w:rsidP="00316274">
            <w:pPr>
              <w:spacing w:line="360" w:lineRule="auto"/>
              <w:jc w:val="both"/>
            </w:pPr>
            <w:r w:rsidRPr="00316274">
              <w:t>38.74</w:t>
            </w:r>
          </w:p>
        </w:tc>
        <w:tc>
          <w:tcPr>
            <w:tcW w:w="1959" w:type="dxa"/>
            <w:hideMark/>
          </w:tcPr>
          <w:p w14:paraId="7013F579" w14:textId="77777777" w:rsidR="00C6038D" w:rsidRPr="00316274" w:rsidRDefault="00C6038D" w:rsidP="00316274">
            <w:pPr>
              <w:spacing w:line="360" w:lineRule="auto"/>
              <w:jc w:val="both"/>
            </w:pPr>
            <w:r w:rsidRPr="00316274">
              <w:t>0.04</w:t>
            </w:r>
          </w:p>
        </w:tc>
        <w:tc>
          <w:tcPr>
            <w:tcW w:w="1857" w:type="dxa"/>
            <w:hideMark/>
          </w:tcPr>
          <w:p w14:paraId="48BD1094" w14:textId="77777777" w:rsidR="00C6038D" w:rsidRPr="00316274" w:rsidRDefault="00C6038D" w:rsidP="00316274">
            <w:pPr>
              <w:spacing w:line="360" w:lineRule="auto"/>
              <w:jc w:val="both"/>
            </w:pPr>
            <w:r w:rsidRPr="00316274">
              <w:t>5.83</w:t>
            </w:r>
          </w:p>
        </w:tc>
      </w:tr>
      <w:tr w:rsidR="00316274" w:rsidRPr="00316274" w14:paraId="6F75E3D9" w14:textId="77777777" w:rsidTr="00656779">
        <w:trPr>
          <w:trHeight w:val="315"/>
          <w:jc w:val="center"/>
        </w:trPr>
        <w:tc>
          <w:tcPr>
            <w:tcW w:w="1097" w:type="dxa"/>
            <w:hideMark/>
          </w:tcPr>
          <w:p w14:paraId="49ADB80D" w14:textId="77777777" w:rsidR="00C6038D" w:rsidRPr="00316274" w:rsidRDefault="00C6038D" w:rsidP="00316274">
            <w:pPr>
              <w:spacing w:line="360" w:lineRule="auto"/>
              <w:jc w:val="both"/>
              <w:rPr>
                <w:bCs/>
              </w:rPr>
            </w:pPr>
            <w:r w:rsidRPr="00316274">
              <w:t>India</w:t>
            </w:r>
          </w:p>
        </w:tc>
        <w:tc>
          <w:tcPr>
            <w:tcW w:w="1516" w:type="dxa"/>
            <w:hideMark/>
          </w:tcPr>
          <w:p w14:paraId="287AAB02" w14:textId="77777777" w:rsidR="00C6038D" w:rsidRPr="00316274" w:rsidRDefault="00C6038D" w:rsidP="00316274">
            <w:pPr>
              <w:spacing w:line="360" w:lineRule="auto"/>
              <w:jc w:val="both"/>
            </w:pPr>
            <w:r w:rsidRPr="00316274">
              <w:t>2.89</w:t>
            </w:r>
          </w:p>
        </w:tc>
        <w:tc>
          <w:tcPr>
            <w:tcW w:w="1959" w:type="dxa"/>
            <w:hideMark/>
          </w:tcPr>
          <w:p w14:paraId="04FF2EDE" w14:textId="77777777" w:rsidR="00C6038D" w:rsidRPr="00316274" w:rsidRDefault="00C6038D" w:rsidP="00316274">
            <w:pPr>
              <w:spacing w:line="360" w:lineRule="auto"/>
              <w:jc w:val="both"/>
            </w:pPr>
            <w:r w:rsidRPr="00316274">
              <w:t>0.44</w:t>
            </w:r>
          </w:p>
        </w:tc>
        <w:tc>
          <w:tcPr>
            <w:tcW w:w="1857" w:type="dxa"/>
            <w:hideMark/>
          </w:tcPr>
          <w:p w14:paraId="4CB5A488" w14:textId="77777777" w:rsidR="00C6038D" w:rsidRPr="00316274" w:rsidRDefault="00C6038D" w:rsidP="00316274">
            <w:pPr>
              <w:spacing w:line="360" w:lineRule="auto"/>
              <w:jc w:val="both"/>
            </w:pPr>
            <w:r w:rsidRPr="00316274">
              <w:t>66.49</w:t>
            </w:r>
          </w:p>
        </w:tc>
      </w:tr>
    </w:tbl>
    <w:p w14:paraId="18B2F1FF" w14:textId="77777777" w:rsidR="00C6038D" w:rsidRPr="00316274" w:rsidRDefault="00C6038D" w:rsidP="00316274">
      <w:pPr>
        <w:spacing w:before="240" w:after="160" w:line="360" w:lineRule="auto"/>
        <w:jc w:val="both"/>
        <w:rPr>
          <w:rFonts w:eastAsiaTheme="minorHAnsi"/>
          <w:i/>
          <w:kern w:val="2"/>
          <w:lang w:bidi="ta-IN"/>
          <w14:ligatures w14:val="standardContextual"/>
        </w:rPr>
      </w:pPr>
      <w:r w:rsidRPr="00316274">
        <w:rPr>
          <w:rFonts w:eastAsiaTheme="minorHAnsi"/>
          <w:i/>
          <w:kern w:val="2"/>
          <w:lang w:bidi="ta-IN"/>
          <w14:ligatures w14:val="standardContextual"/>
        </w:rPr>
        <w:t xml:space="preserve">(Source: FAO AQUASTAT data (2020), retrieved from </w:t>
      </w:r>
      <w:hyperlink r:id="rId7" w:history="1">
        <w:r w:rsidRPr="00316274">
          <w:rPr>
            <w:rFonts w:eastAsiaTheme="minorHAnsi"/>
            <w:i/>
            <w:kern w:val="2"/>
            <w:u w:val="single"/>
            <w:lang w:bidi="ta-IN"/>
            <w14:ligatures w14:val="standardContextual"/>
          </w:rPr>
          <w:t>https://data.apps.fao.org/aquastat/?lang=en</w:t>
        </w:r>
      </w:hyperlink>
      <w:r w:rsidRPr="00316274">
        <w:rPr>
          <w:rFonts w:eastAsiaTheme="minorHAnsi"/>
          <w:i/>
          <w:kern w:val="2"/>
          <w:u w:val="single"/>
          <w:lang w:bidi="ta-IN"/>
          <w14:ligatures w14:val="standardContextual"/>
        </w:rPr>
        <w:t xml:space="preserve">, </w:t>
      </w:r>
      <w:r w:rsidRPr="00316274">
        <w:rPr>
          <w:rFonts w:eastAsiaTheme="minorHAnsi"/>
          <w:i/>
          <w:kern w:val="2"/>
          <w:lang w:bidi="ta-IN"/>
          <w14:ligatures w14:val="standardContextual"/>
        </w:rPr>
        <w:t>Accessed on 30 Nov 2023)</w:t>
      </w:r>
    </w:p>
    <w:p w14:paraId="23FA8859" w14:textId="0F99D43C" w:rsidR="00656779" w:rsidRPr="00316274" w:rsidRDefault="0079013B" w:rsidP="00316274">
      <w:pPr>
        <w:pStyle w:val="Heading2"/>
        <w:numPr>
          <w:ilvl w:val="1"/>
          <w:numId w:val="1"/>
        </w:numPr>
        <w:jc w:val="both"/>
        <w:rPr>
          <w:rFonts w:eastAsia="Arial" w:cs="Times New Roman"/>
          <w:i w:val="0"/>
          <w:szCs w:val="24"/>
          <w:lang w:val="en"/>
        </w:rPr>
      </w:pPr>
      <w:r w:rsidRPr="00316274">
        <w:rPr>
          <w:rFonts w:eastAsia="Arial" w:cs="Times New Roman"/>
          <w:i w:val="0"/>
          <w:szCs w:val="24"/>
          <w:lang w:val="en"/>
        </w:rPr>
        <w:t xml:space="preserve"> </w:t>
      </w:r>
      <w:r w:rsidR="00656779" w:rsidRPr="00316274">
        <w:rPr>
          <w:rFonts w:eastAsia="Arial" w:cs="Times New Roman"/>
          <w:i w:val="0"/>
          <w:szCs w:val="24"/>
          <w:lang w:val="en"/>
        </w:rPr>
        <w:t>Areas equipped for irrigation for surface water and groundwater in the selected water-stressed Tropical countries</w:t>
      </w:r>
    </w:p>
    <w:p w14:paraId="5D4D8776" w14:textId="18DAE1F8" w:rsidR="00656779" w:rsidRPr="00316274" w:rsidRDefault="00656779" w:rsidP="00316274">
      <w:pPr>
        <w:spacing w:before="240" w:after="160" w:line="360" w:lineRule="auto"/>
        <w:ind w:left="360"/>
        <w:jc w:val="both"/>
        <w:rPr>
          <w:rFonts w:eastAsiaTheme="minorHAnsi"/>
          <w:kern w:val="2"/>
          <w:lang w:bidi="ta-IN"/>
          <w14:ligatures w14:val="standardContextual"/>
        </w:rPr>
      </w:pPr>
      <w:r w:rsidRPr="00316274">
        <w:rPr>
          <w:rFonts w:eastAsia="Arial"/>
          <w:lang w:val="en"/>
        </w:rPr>
        <w:t xml:space="preserve">Figure </w:t>
      </w:r>
      <w:r w:rsidR="00505E28" w:rsidRPr="00316274">
        <w:rPr>
          <w:rFonts w:eastAsia="Arial"/>
          <w:lang w:val="en"/>
        </w:rPr>
        <w:t>S</w:t>
      </w:r>
      <w:r w:rsidRPr="00316274">
        <w:rPr>
          <w:rFonts w:eastAsia="Arial"/>
          <w:lang w:val="en"/>
        </w:rPr>
        <w:t>2 shows the percentages of area equipped for surface irrigation and groundwater irrigation for each country for the year 2020. Ethiopia’s data was not available. It can be observed that in Rwanda about 99% area is dependent on surface irrigation and the least surface water irrigation dependent country is India with a value of 31.93%. Groundwater dependent irrigation areas are maximum in India for about 56% followed by Nigeria having 20.17%.</w:t>
      </w:r>
    </w:p>
    <w:p w14:paraId="02529E80" w14:textId="77777777" w:rsidR="00656779" w:rsidRPr="00316274" w:rsidRDefault="00656779" w:rsidP="00316274">
      <w:pPr>
        <w:spacing w:before="240" w:after="160" w:line="360" w:lineRule="auto"/>
        <w:jc w:val="both"/>
        <w:rPr>
          <w:rFonts w:eastAsiaTheme="minorHAnsi"/>
          <w:kern w:val="2"/>
          <w:u w:val="single"/>
          <w:lang w:bidi="ta-IN"/>
          <w14:ligatures w14:val="standardContextual"/>
        </w:rPr>
      </w:pPr>
    </w:p>
    <w:p w14:paraId="369745CE" w14:textId="77777777" w:rsidR="00C6038D" w:rsidRPr="00316274" w:rsidRDefault="00C6038D" w:rsidP="00316274">
      <w:pPr>
        <w:pStyle w:val="Paragraph"/>
        <w:spacing w:line="360" w:lineRule="auto"/>
        <w:jc w:val="both"/>
        <w:rPr>
          <w:rFonts w:eastAsiaTheme="minorHAnsi"/>
          <w:lang w:bidi="ta-IN"/>
        </w:rPr>
      </w:pPr>
      <w:r w:rsidRPr="00316274">
        <w:rPr>
          <w:noProof/>
        </w:rPr>
        <w:lastRenderedPageBreak/>
        <w:drawing>
          <wp:inline distT="0" distB="0" distL="0" distR="0" wp14:anchorId="660B8564" wp14:editId="63094091">
            <wp:extent cx="5310835" cy="3112923"/>
            <wp:effectExtent l="0" t="0" r="4445" b="11430"/>
            <wp:docPr id="1100228978" name="Chart 1">
              <a:extLst xmlns:a="http://schemas.openxmlformats.org/drawingml/2006/main">
                <a:ext uri="{FF2B5EF4-FFF2-40B4-BE49-F238E27FC236}">
                  <a16:creationId xmlns:a16="http://schemas.microsoft.com/office/drawing/2014/main" id="{2B394992-F744-4D3E-5E92-542C327F6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5DB73E" w14:textId="201BB073" w:rsidR="00C6038D" w:rsidRPr="00316274" w:rsidRDefault="00BA5FFE" w:rsidP="00316274">
      <w:pPr>
        <w:pStyle w:val="Paragraph"/>
        <w:spacing w:before="0" w:line="360" w:lineRule="auto"/>
        <w:jc w:val="both"/>
        <w:rPr>
          <w:rFonts w:eastAsiaTheme="minorHAnsi"/>
          <w:b/>
          <w:lang w:bidi="ta-IN"/>
        </w:rPr>
      </w:pPr>
      <w:r w:rsidRPr="00316274">
        <w:rPr>
          <w:rFonts w:eastAsiaTheme="minorHAnsi"/>
          <w:b/>
          <w:lang w:bidi="ta-IN"/>
        </w:rPr>
        <w:t xml:space="preserve">Figure </w:t>
      </w:r>
      <w:r w:rsidR="00505E28" w:rsidRPr="00316274">
        <w:rPr>
          <w:rFonts w:eastAsiaTheme="minorHAnsi"/>
          <w:b/>
          <w:lang w:bidi="ta-IN"/>
        </w:rPr>
        <w:t>S</w:t>
      </w:r>
      <w:r w:rsidRPr="00316274">
        <w:rPr>
          <w:rFonts w:eastAsiaTheme="minorHAnsi"/>
          <w:b/>
          <w:lang w:bidi="ta-IN"/>
        </w:rPr>
        <w:t>2</w:t>
      </w:r>
      <w:r w:rsidR="00C6038D" w:rsidRPr="00316274">
        <w:rPr>
          <w:rFonts w:eastAsiaTheme="minorHAnsi"/>
          <w:b/>
          <w:lang w:bidi="ta-IN"/>
        </w:rPr>
        <w:t>. Percentage of area equipped for irrigation depending on surface water and groundwater in the selected water-stressed Tropical countries</w:t>
      </w:r>
    </w:p>
    <w:p w14:paraId="7A4BBA55" w14:textId="77777777" w:rsidR="00C6038D" w:rsidRPr="00316274" w:rsidRDefault="00C6038D" w:rsidP="00316274">
      <w:pPr>
        <w:pStyle w:val="Figurecaption"/>
        <w:spacing w:before="0"/>
        <w:jc w:val="both"/>
        <w:rPr>
          <w:rFonts w:eastAsiaTheme="minorHAnsi"/>
          <w:lang w:bidi="ta-IN"/>
        </w:rPr>
      </w:pPr>
      <w:r w:rsidRPr="00316274">
        <w:rPr>
          <w:rFonts w:eastAsiaTheme="minorHAnsi"/>
          <w:i/>
          <w:kern w:val="2"/>
          <w:lang w:bidi="ta-IN"/>
          <w14:ligatures w14:val="standardContextual"/>
        </w:rPr>
        <w:t xml:space="preserve">(Source: Graph plotted using FAO AQUASTAT data (2020), retrieved from </w:t>
      </w:r>
      <w:hyperlink r:id="rId9" w:history="1">
        <w:r w:rsidRPr="00316274">
          <w:rPr>
            <w:rFonts w:eastAsiaTheme="minorHAnsi"/>
            <w:i/>
            <w:kern w:val="2"/>
            <w:u w:val="single"/>
            <w:lang w:bidi="ta-IN"/>
            <w14:ligatures w14:val="standardContextual"/>
          </w:rPr>
          <w:t>https://data.apps.fao.org/aquastat/?lang=en</w:t>
        </w:r>
      </w:hyperlink>
      <w:r w:rsidRPr="00316274">
        <w:rPr>
          <w:rFonts w:eastAsiaTheme="minorHAnsi"/>
          <w:i/>
          <w:kern w:val="2"/>
          <w:u w:val="single"/>
          <w:lang w:bidi="ta-IN"/>
          <w14:ligatures w14:val="standardContextual"/>
        </w:rPr>
        <w:t xml:space="preserve">, </w:t>
      </w:r>
      <w:r w:rsidRPr="00316274">
        <w:rPr>
          <w:rFonts w:eastAsiaTheme="minorHAnsi"/>
          <w:i/>
          <w:kern w:val="2"/>
          <w:lang w:bidi="ta-IN"/>
          <w14:ligatures w14:val="standardContextual"/>
        </w:rPr>
        <w:t>Accessed on 30 Nov 2023)</w:t>
      </w:r>
    </w:p>
    <w:p w14:paraId="463855E6" w14:textId="77777777" w:rsidR="0032204D" w:rsidRPr="00316274" w:rsidRDefault="0032204D" w:rsidP="00316274">
      <w:pPr>
        <w:spacing w:line="360" w:lineRule="auto"/>
        <w:jc w:val="both"/>
      </w:pPr>
    </w:p>
    <w:sectPr w:rsidR="0032204D" w:rsidRPr="00316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E1CD5"/>
    <w:multiLevelType w:val="multilevel"/>
    <w:tmpl w:val="57B8C9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B85A61"/>
    <w:multiLevelType w:val="multilevel"/>
    <w:tmpl w:val="57B8C9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6165685">
    <w:abstractNumId w:val="1"/>
  </w:num>
  <w:num w:numId="2" w16cid:durableId="6148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0MDc1tDCwMDcwNjdV0lEKTi0uzszPAykwqgUAYyjabCwAAAA="/>
  </w:docVars>
  <w:rsids>
    <w:rsidRoot w:val="00F7203F"/>
    <w:rsid w:val="001A39E4"/>
    <w:rsid w:val="002451A4"/>
    <w:rsid w:val="002D03B4"/>
    <w:rsid w:val="00316274"/>
    <w:rsid w:val="0032204D"/>
    <w:rsid w:val="003E336E"/>
    <w:rsid w:val="00505E28"/>
    <w:rsid w:val="00656779"/>
    <w:rsid w:val="0079013B"/>
    <w:rsid w:val="00BA5FFE"/>
    <w:rsid w:val="00C6038D"/>
    <w:rsid w:val="00D44E5B"/>
    <w:rsid w:val="00F7203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E2FF"/>
  <w15:chartTrackingRefBased/>
  <w15:docId w15:val="{B8A738F0-AD05-4A17-825F-AE9C300D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8D"/>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C6038D"/>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C6038D"/>
    <w:pPr>
      <w:keepNext/>
      <w:spacing w:before="360" w:after="60" w:line="360" w:lineRule="auto"/>
      <w:ind w:right="567"/>
      <w:contextualSpacing/>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38D"/>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C6038D"/>
    <w:rPr>
      <w:rFonts w:ascii="Times New Roman" w:eastAsia="Times New Roman" w:hAnsi="Times New Roman" w:cs="Arial"/>
      <w:b/>
      <w:bCs/>
      <w:i/>
      <w:iCs/>
      <w:sz w:val="24"/>
      <w:szCs w:val="28"/>
      <w:lang w:val="en-GB" w:eastAsia="en-GB"/>
    </w:rPr>
  </w:style>
  <w:style w:type="table" w:styleId="ListTable2">
    <w:name w:val="List Table 2"/>
    <w:basedOn w:val="TableNormal"/>
    <w:uiPriority w:val="47"/>
    <w:rsid w:val="00C6038D"/>
    <w:pPr>
      <w:spacing w:after="0" w:line="240" w:lineRule="auto"/>
    </w:pPr>
    <w:rPr>
      <w:rFonts w:ascii="Calibri" w:eastAsia="Calibri" w:hAnsi="Calibri" w:cs="Latha"/>
      <w:kern w:val="2"/>
      <w:lang w:bidi="ta-IN"/>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 title"/>
    <w:basedOn w:val="Normal"/>
    <w:next w:val="Normal"/>
    <w:qFormat/>
    <w:rsid w:val="00C6038D"/>
    <w:pPr>
      <w:spacing w:before="240" w:line="360" w:lineRule="auto"/>
    </w:pPr>
  </w:style>
  <w:style w:type="paragraph" w:customStyle="1" w:styleId="Figurecaption">
    <w:name w:val="Figure caption"/>
    <w:basedOn w:val="Normal"/>
    <w:next w:val="Normal"/>
    <w:qFormat/>
    <w:rsid w:val="00C6038D"/>
    <w:pPr>
      <w:spacing w:before="240" w:line="360" w:lineRule="auto"/>
    </w:pPr>
  </w:style>
  <w:style w:type="paragraph" w:customStyle="1" w:styleId="Paragraph">
    <w:name w:val="Paragraph"/>
    <w:basedOn w:val="Normal"/>
    <w:next w:val="Newparagraph"/>
    <w:qFormat/>
    <w:rsid w:val="00C6038D"/>
    <w:pPr>
      <w:widowControl w:val="0"/>
      <w:spacing w:before="240"/>
    </w:pPr>
  </w:style>
  <w:style w:type="paragraph" w:customStyle="1" w:styleId="Newparagraph">
    <w:name w:val="New paragraph"/>
    <w:basedOn w:val="Normal"/>
    <w:qFormat/>
    <w:rsid w:val="00C6038D"/>
    <w:pPr>
      <w:ind w:firstLine="720"/>
    </w:pPr>
  </w:style>
  <w:style w:type="paragraph" w:customStyle="1" w:styleId="Articletitle">
    <w:name w:val="Article title"/>
    <w:basedOn w:val="Normal"/>
    <w:next w:val="Normal"/>
    <w:qFormat/>
    <w:rsid w:val="00BA5FFE"/>
    <w:pPr>
      <w:spacing w:after="120" w:line="360" w:lineRule="auto"/>
    </w:pPr>
    <w:rPr>
      <w:b/>
      <w:sz w:val="28"/>
    </w:rPr>
  </w:style>
  <w:style w:type="table" w:styleId="TableGrid">
    <w:name w:val="Table Grid"/>
    <w:basedOn w:val="TableNormal"/>
    <w:uiPriority w:val="39"/>
    <w:rsid w:val="0065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s://data.apps.fao.org/aquastat/?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apps.fao.org/aquastat/?lang=en"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apps.fao.org/aquastat/?lang=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Downloads\Graph%20-%20source%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ric%20Moses\Desktop\Graph%20-%20sour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 source (1).xlsx]Sheet6'!$B$1</c:f>
              <c:strCache>
                <c:ptCount val="1"/>
                <c:pt idx="0">
                  <c:v>HDI Index</c:v>
                </c:pt>
              </c:strCache>
            </c:strRef>
          </c:tx>
          <c:spPr>
            <a:solidFill>
              <a:schemeClr val="accent1"/>
            </a:solidFill>
            <a:ln>
              <a:noFill/>
            </a:ln>
            <a:effectLst/>
          </c:spPr>
          <c:invertIfNegative val="0"/>
          <c:cat>
            <c:strRef>
              <c:f>'[Graph - source (1).xlsx]Sheet6'!$A$2:$A$8</c:f>
              <c:strCache>
                <c:ptCount val="7"/>
                <c:pt idx="0">
                  <c:v>Ethiopia</c:v>
                </c:pt>
                <c:pt idx="1">
                  <c:v>Niger</c:v>
                </c:pt>
                <c:pt idx="2">
                  <c:v>Nigeria</c:v>
                </c:pt>
                <c:pt idx="3">
                  <c:v>Rwanda</c:v>
                </c:pt>
                <c:pt idx="4">
                  <c:v>Tanzania</c:v>
                </c:pt>
                <c:pt idx="5">
                  <c:v>Uganda</c:v>
                </c:pt>
                <c:pt idx="6">
                  <c:v>India</c:v>
                </c:pt>
              </c:strCache>
            </c:strRef>
          </c:cat>
          <c:val>
            <c:numRef>
              <c:f>'[Graph - source (1).xlsx]Sheet6'!$B$2:$B$8</c:f>
              <c:numCache>
                <c:formatCode>General</c:formatCode>
                <c:ptCount val="7"/>
                <c:pt idx="0">
                  <c:v>0.47</c:v>
                </c:pt>
                <c:pt idx="1">
                  <c:v>0.38</c:v>
                </c:pt>
                <c:pt idx="2">
                  <c:v>0.53</c:v>
                </c:pt>
                <c:pt idx="3">
                  <c:v>0.54</c:v>
                </c:pt>
                <c:pt idx="4">
                  <c:v>0.53</c:v>
                </c:pt>
                <c:pt idx="5">
                  <c:v>0.53</c:v>
                </c:pt>
                <c:pt idx="6">
                  <c:v>0.65</c:v>
                </c:pt>
              </c:numCache>
            </c:numRef>
          </c:val>
          <c:extLst>
            <c:ext xmlns:c16="http://schemas.microsoft.com/office/drawing/2014/chart" uri="{C3380CC4-5D6E-409C-BE32-E72D297353CC}">
              <c16:uniqueId val="{00000000-C52A-4BE1-87CD-A0A114B15F18}"/>
            </c:ext>
          </c:extLst>
        </c:ser>
        <c:ser>
          <c:idx val="1"/>
          <c:order val="1"/>
          <c:tx>
            <c:strRef>
              <c:f>'[Graph - source (1).xlsx]Sheet6'!$C$1</c:f>
              <c:strCache>
                <c:ptCount val="1"/>
                <c:pt idx="0">
                  <c:v>HDI Index b</c:v>
                </c:pt>
              </c:strCache>
            </c:strRef>
          </c:tx>
          <c:spPr>
            <a:solidFill>
              <a:schemeClr val="accent2"/>
            </a:solidFill>
            <a:ln>
              <a:noFill/>
            </a:ln>
            <a:effectLst/>
          </c:spPr>
          <c:invertIfNegative val="0"/>
          <c:cat>
            <c:strRef>
              <c:f>'[Graph - source (1).xlsx]Sheet6'!$A$2:$A$8</c:f>
              <c:strCache>
                <c:ptCount val="7"/>
                <c:pt idx="0">
                  <c:v>Ethiopia</c:v>
                </c:pt>
                <c:pt idx="1">
                  <c:v>Niger</c:v>
                </c:pt>
                <c:pt idx="2">
                  <c:v>Nigeria</c:v>
                </c:pt>
                <c:pt idx="3">
                  <c:v>Rwanda</c:v>
                </c:pt>
                <c:pt idx="4">
                  <c:v>Tanzania</c:v>
                </c:pt>
                <c:pt idx="5">
                  <c:v>Uganda</c:v>
                </c:pt>
                <c:pt idx="6">
                  <c:v>India</c:v>
                </c:pt>
              </c:strCache>
            </c:strRef>
          </c:cat>
          <c:val>
            <c:numRef>
              <c:f>'[Graph - source (1).xlsx]Sheet6'!$C$2:$C$8</c:f>
              <c:numCache>
                <c:formatCode>General</c:formatCode>
                <c:ptCount val="7"/>
              </c:numCache>
            </c:numRef>
          </c:val>
          <c:extLst>
            <c:ext xmlns:c16="http://schemas.microsoft.com/office/drawing/2014/chart" uri="{C3380CC4-5D6E-409C-BE32-E72D297353CC}">
              <c16:uniqueId val="{00000001-C52A-4BE1-87CD-A0A114B15F18}"/>
            </c:ext>
          </c:extLst>
        </c:ser>
        <c:dLbls>
          <c:showLegendKey val="0"/>
          <c:showVal val="0"/>
          <c:showCatName val="0"/>
          <c:showSerName val="0"/>
          <c:showPercent val="0"/>
          <c:showBubbleSize val="0"/>
        </c:dLbls>
        <c:gapWidth val="219"/>
        <c:overlap val="-27"/>
        <c:axId val="473331264"/>
        <c:axId val="474426368"/>
      </c:barChart>
      <c:barChart>
        <c:barDir val="col"/>
        <c:grouping val="clustered"/>
        <c:varyColors val="0"/>
        <c:ser>
          <c:idx val="2"/>
          <c:order val="2"/>
          <c:tx>
            <c:strRef>
              <c:f>'[Graph - source (1).xlsx]Sheet6'!$D$1</c:f>
              <c:strCache>
                <c:ptCount val="1"/>
                <c:pt idx="0">
                  <c:v>Contribution of agriculture to country’s GDP (Agriculture value added)(% GDP) b</c:v>
                </c:pt>
              </c:strCache>
            </c:strRef>
          </c:tx>
          <c:spPr>
            <a:solidFill>
              <a:schemeClr val="accent3"/>
            </a:solidFill>
            <a:ln>
              <a:noFill/>
            </a:ln>
            <a:effectLst/>
          </c:spPr>
          <c:invertIfNegative val="0"/>
          <c:cat>
            <c:strRef>
              <c:f>'[Graph - source (1).xlsx]Sheet6'!$A$2:$A$8</c:f>
              <c:strCache>
                <c:ptCount val="7"/>
                <c:pt idx="0">
                  <c:v>Ethiopia</c:v>
                </c:pt>
                <c:pt idx="1">
                  <c:v>Niger</c:v>
                </c:pt>
                <c:pt idx="2">
                  <c:v>Nigeria</c:v>
                </c:pt>
                <c:pt idx="3">
                  <c:v>Rwanda</c:v>
                </c:pt>
                <c:pt idx="4">
                  <c:v>Tanzania</c:v>
                </c:pt>
                <c:pt idx="5">
                  <c:v>Uganda</c:v>
                </c:pt>
                <c:pt idx="6">
                  <c:v>India</c:v>
                </c:pt>
              </c:strCache>
            </c:strRef>
          </c:cat>
          <c:val>
            <c:numRef>
              <c:f>'[Graph - source (1).xlsx]Sheet6'!$D$2:$D$8</c:f>
              <c:numCache>
                <c:formatCode>General</c:formatCode>
                <c:ptCount val="7"/>
              </c:numCache>
            </c:numRef>
          </c:val>
          <c:extLst>
            <c:ext xmlns:c16="http://schemas.microsoft.com/office/drawing/2014/chart" uri="{C3380CC4-5D6E-409C-BE32-E72D297353CC}">
              <c16:uniqueId val="{00000002-C52A-4BE1-87CD-A0A114B15F18}"/>
            </c:ext>
          </c:extLst>
        </c:ser>
        <c:ser>
          <c:idx val="3"/>
          <c:order val="3"/>
          <c:tx>
            <c:strRef>
              <c:f>'[Graph - source (1).xlsx]Sheet6'!$E$1</c:f>
              <c:strCache>
                <c:ptCount val="1"/>
                <c:pt idx="0">
                  <c:v>Contribution of agriculture to country’s GDP (Agriculture value added)(% GDP)</c:v>
                </c:pt>
              </c:strCache>
            </c:strRef>
          </c:tx>
          <c:spPr>
            <a:solidFill>
              <a:schemeClr val="accent4"/>
            </a:solidFill>
            <a:ln>
              <a:noFill/>
            </a:ln>
            <a:effectLst/>
          </c:spPr>
          <c:invertIfNegative val="0"/>
          <c:cat>
            <c:strRef>
              <c:f>'[Graph - source (1).xlsx]Sheet6'!$A$2:$A$8</c:f>
              <c:strCache>
                <c:ptCount val="7"/>
                <c:pt idx="0">
                  <c:v>Ethiopia</c:v>
                </c:pt>
                <c:pt idx="1">
                  <c:v>Niger</c:v>
                </c:pt>
                <c:pt idx="2">
                  <c:v>Nigeria</c:v>
                </c:pt>
                <c:pt idx="3">
                  <c:v>Rwanda</c:v>
                </c:pt>
                <c:pt idx="4">
                  <c:v>Tanzania</c:v>
                </c:pt>
                <c:pt idx="5">
                  <c:v>Uganda</c:v>
                </c:pt>
                <c:pt idx="6">
                  <c:v>India</c:v>
                </c:pt>
              </c:strCache>
            </c:strRef>
          </c:cat>
          <c:val>
            <c:numRef>
              <c:f>'[Graph - source (1).xlsx]Sheet6'!$E$2:$E$8</c:f>
              <c:numCache>
                <c:formatCode>General</c:formatCode>
                <c:ptCount val="7"/>
                <c:pt idx="0">
                  <c:v>35.56</c:v>
                </c:pt>
                <c:pt idx="1">
                  <c:v>38.380000000000003</c:v>
                </c:pt>
                <c:pt idx="2">
                  <c:v>24.14</c:v>
                </c:pt>
                <c:pt idx="3">
                  <c:v>26.26</c:v>
                </c:pt>
                <c:pt idx="4">
                  <c:v>26.93</c:v>
                </c:pt>
                <c:pt idx="5">
                  <c:v>23.74</c:v>
                </c:pt>
                <c:pt idx="6">
                  <c:v>16.399999999999999</c:v>
                </c:pt>
              </c:numCache>
            </c:numRef>
          </c:val>
          <c:extLst>
            <c:ext xmlns:c16="http://schemas.microsoft.com/office/drawing/2014/chart" uri="{C3380CC4-5D6E-409C-BE32-E72D297353CC}">
              <c16:uniqueId val="{00000003-C52A-4BE1-87CD-A0A114B15F18}"/>
            </c:ext>
          </c:extLst>
        </c:ser>
        <c:dLbls>
          <c:showLegendKey val="0"/>
          <c:showVal val="0"/>
          <c:showCatName val="0"/>
          <c:showSerName val="0"/>
          <c:showPercent val="0"/>
          <c:showBubbleSize val="0"/>
        </c:dLbls>
        <c:gapWidth val="219"/>
        <c:overlap val="-27"/>
        <c:axId val="472965712"/>
        <c:axId val="470660816"/>
      </c:barChart>
      <c:catAx>
        <c:axId val="473331264"/>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Country</a:t>
                </a:r>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426368"/>
        <c:crosses val="autoZero"/>
        <c:auto val="1"/>
        <c:lblAlgn val="ctr"/>
        <c:lblOffset val="100"/>
        <c:noMultiLvlLbl val="0"/>
      </c:catAx>
      <c:valAx>
        <c:axId val="47442636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HDI</a:t>
                </a: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31264"/>
        <c:crosses val="autoZero"/>
        <c:crossBetween val="between"/>
      </c:valAx>
      <c:valAx>
        <c:axId val="470660816"/>
        <c:scaling>
          <c:orientation val="minMax"/>
        </c:scaling>
        <c:delete val="0"/>
        <c:axPos val="r"/>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Agriculture value added (% GDP)</a:t>
                </a:r>
                <a:endParaRPr lang="en-IN"/>
              </a:p>
            </c:rich>
          </c:tx>
          <c:layout>
            <c:manualLayout>
              <c:xMode val="edge"/>
              <c:yMode val="edge"/>
              <c:x val="0.95136649988361321"/>
              <c:y val="0.18363824059267655"/>
            </c:manualLayout>
          </c:layout>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65712"/>
        <c:crosses val="max"/>
        <c:crossBetween val="between"/>
      </c:valAx>
      <c:catAx>
        <c:axId val="472965712"/>
        <c:scaling>
          <c:orientation val="minMax"/>
        </c:scaling>
        <c:delete val="1"/>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Country</a:t>
                </a:r>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70660816"/>
        <c:crosses val="autoZero"/>
        <c:auto val="1"/>
        <c:lblAlgn val="ctr"/>
        <c:lblOffset val="100"/>
        <c:noMultiLvlLbl val="0"/>
      </c:cat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Sheet3!$F$3</c:f>
              <c:strCache>
                <c:ptCount val="1"/>
                <c:pt idx="0">
                  <c:v>% of area equipped for irrigation by Surface water</c:v>
                </c:pt>
              </c:strCache>
            </c:strRef>
          </c:tx>
          <c:spPr>
            <a:solidFill>
              <a:schemeClr val="accent1"/>
            </a:solidFill>
            <a:ln>
              <a:noFill/>
            </a:ln>
            <a:effectLst/>
          </c:spPr>
          <c:invertIfNegative val="0"/>
          <c:cat>
            <c:strRef>
              <c:f>Sheet3!$B$5:$B$10</c:f>
              <c:strCache>
                <c:ptCount val="6"/>
                <c:pt idx="0">
                  <c:v>Niger</c:v>
                </c:pt>
                <c:pt idx="1">
                  <c:v>Nigeria</c:v>
                </c:pt>
                <c:pt idx="2">
                  <c:v>Rwanda</c:v>
                </c:pt>
                <c:pt idx="3">
                  <c:v>Tanzania</c:v>
                </c:pt>
                <c:pt idx="4">
                  <c:v>Uganda</c:v>
                </c:pt>
                <c:pt idx="5">
                  <c:v>India</c:v>
                </c:pt>
              </c:strCache>
            </c:strRef>
          </c:cat>
          <c:val>
            <c:numRef>
              <c:f>Sheet3!$F$5:$F$10</c:f>
              <c:numCache>
                <c:formatCode>General</c:formatCode>
                <c:ptCount val="6"/>
                <c:pt idx="0">
                  <c:v>71.16</c:v>
                </c:pt>
                <c:pt idx="1">
                  <c:v>68.37</c:v>
                </c:pt>
                <c:pt idx="2">
                  <c:v>99</c:v>
                </c:pt>
                <c:pt idx="3">
                  <c:v>50.51</c:v>
                </c:pt>
                <c:pt idx="4">
                  <c:v>81.33</c:v>
                </c:pt>
                <c:pt idx="5">
                  <c:v>31.93</c:v>
                </c:pt>
              </c:numCache>
            </c:numRef>
          </c:val>
          <c:extLst>
            <c:ext xmlns:c16="http://schemas.microsoft.com/office/drawing/2014/chart" uri="{C3380CC4-5D6E-409C-BE32-E72D297353CC}">
              <c16:uniqueId val="{00000000-2B7F-41E4-81BB-5A42CABDB225}"/>
            </c:ext>
          </c:extLst>
        </c:ser>
        <c:ser>
          <c:idx val="1"/>
          <c:order val="1"/>
          <c:tx>
            <c:strRef>
              <c:f>Sheet3!$G$3</c:f>
              <c:strCache>
                <c:ptCount val="1"/>
                <c:pt idx="0">
                  <c:v>% of area equipped for irrigation by Ground water</c:v>
                </c:pt>
              </c:strCache>
            </c:strRef>
          </c:tx>
          <c:spPr>
            <a:solidFill>
              <a:schemeClr val="accent2"/>
            </a:solidFill>
            <a:ln>
              <a:noFill/>
            </a:ln>
            <a:effectLst/>
          </c:spPr>
          <c:invertIfNegative val="0"/>
          <c:cat>
            <c:strRef>
              <c:f>Sheet3!$B$5:$B$10</c:f>
              <c:strCache>
                <c:ptCount val="6"/>
                <c:pt idx="0">
                  <c:v>Niger</c:v>
                </c:pt>
                <c:pt idx="1">
                  <c:v>Nigeria</c:v>
                </c:pt>
                <c:pt idx="2">
                  <c:v>Rwanda</c:v>
                </c:pt>
                <c:pt idx="3">
                  <c:v>Tanzania</c:v>
                </c:pt>
                <c:pt idx="4">
                  <c:v>Uganda</c:v>
                </c:pt>
                <c:pt idx="5">
                  <c:v>India</c:v>
                </c:pt>
              </c:strCache>
            </c:strRef>
          </c:cat>
          <c:val>
            <c:numRef>
              <c:f>Sheet3!$G$5:$G$10</c:f>
              <c:numCache>
                <c:formatCode>General</c:formatCode>
                <c:ptCount val="6"/>
                <c:pt idx="0">
                  <c:v>1.35</c:v>
                </c:pt>
                <c:pt idx="1">
                  <c:v>20.170000000000002</c:v>
                </c:pt>
                <c:pt idx="2">
                  <c:v>1</c:v>
                </c:pt>
                <c:pt idx="3">
                  <c:v>0.11</c:v>
                </c:pt>
                <c:pt idx="4">
                  <c:v>0.82</c:v>
                </c:pt>
                <c:pt idx="5">
                  <c:v>56</c:v>
                </c:pt>
              </c:numCache>
            </c:numRef>
          </c:val>
          <c:extLst>
            <c:ext xmlns:c16="http://schemas.microsoft.com/office/drawing/2014/chart" uri="{C3380CC4-5D6E-409C-BE32-E72D297353CC}">
              <c16:uniqueId val="{00000001-2B7F-41E4-81BB-5A42CABDB225}"/>
            </c:ext>
          </c:extLst>
        </c:ser>
        <c:dLbls>
          <c:showLegendKey val="0"/>
          <c:showVal val="0"/>
          <c:showCatName val="0"/>
          <c:showSerName val="0"/>
          <c:showPercent val="0"/>
          <c:showBubbleSize val="0"/>
        </c:dLbls>
        <c:gapWidth val="219"/>
        <c:axId val="425523328"/>
        <c:axId val="428202672"/>
      </c:barChart>
      <c:catAx>
        <c:axId val="425523328"/>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Country</a:t>
                </a:r>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02672"/>
        <c:crosses val="autoZero"/>
        <c:auto val="1"/>
        <c:lblAlgn val="ctr"/>
        <c:lblOffset val="100"/>
        <c:noMultiLvlLbl val="0"/>
      </c:catAx>
      <c:valAx>
        <c:axId val="42820267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area </a:t>
                </a: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52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Tryphena</dc:creator>
  <cp:keywords/>
  <dc:description/>
  <cp:lastModifiedBy>Dr. Pankaj Kumar</cp:lastModifiedBy>
  <cp:revision>4</cp:revision>
  <dcterms:created xsi:type="dcterms:W3CDTF">2024-12-09T18:45:00Z</dcterms:created>
  <dcterms:modified xsi:type="dcterms:W3CDTF">2024-12-18T08:00:00Z</dcterms:modified>
</cp:coreProperties>
</file>